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8013C5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6FA4D599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4D7D13CE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СГ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.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0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>5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 Основы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бережливого производства</w:t>
      </w:r>
    </w:p>
    <w:p w14:paraId="627D591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37A2A16E">
      <w:pPr>
        <w:spacing w:after="160" w:line="259" w:lineRule="auto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</w:p>
    <w:p w14:paraId="7EB7ED53">
      <w:pPr>
        <w:numPr>
          <w:ilvl w:val="0"/>
          <w:numId w:val="11"/>
        </w:numPr>
        <w:suppressAutoHyphens/>
        <w:spacing w:after="0" w:line="276" w:lineRule="auto"/>
        <w:ind w:left="720" w:hanging="36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 w:eastAsia="ru-RU"/>
        </w:rPr>
        <w:t>ПРИМЕРНОЙ 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 УЧЕБНОЙ ДИСЦИПЛИНЫ</w:t>
      </w:r>
    </w:p>
    <w:p w14:paraId="6A31C9C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«СГ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.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0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>5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 Основы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бережливого производства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»</w:t>
      </w:r>
    </w:p>
    <w:p w14:paraId="2CA5A0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613CD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1.1. Место дисциплины в структуре основной образовательной программы: </w:t>
      </w:r>
    </w:p>
    <w:p w14:paraId="277CEAB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Учебная дисциплина «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val="ru-RU" w:eastAsia="ru-RU"/>
        </w:rPr>
        <w:t>СГ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. 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val="ru-RU" w:eastAsia="ru-RU"/>
        </w:rPr>
        <w:t>0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>5</w:t>
      </w: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val="ru-RU" w:eastAsia="ru-RU"/>
        </w:rPr>
        <w:t xml:space="preserve"> Основы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бережливого производства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» является обязательной частью социально-гуманитарного цикла образовательной программы в соответствии с ФГОС СПО по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специальности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 Юриспруденция. </w:t>
      </w:r>
    </w:p>
    <w:p w14:paraId="73DBC0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799DAE1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1.2. Цель и планируемые результаты освоения дисциплины</w:t>
      </w:r>
    </w:p>
    <w:p w14:paraId="6AC1332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  <w:t>1.2.1. Цели дисциплины</w:t>
      </w:r>
    </w:p>
    <w:p w14:paraId="544E1A0E">
      <w:pPr>
        <w:tabs>
          <w:tab w:val="left" w:pos="2835"/>
        </w:tabs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Содержание программы общеобразовательной дисциплины «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ru-RU" w:eastAsia="ru-RU"/>
        </w:rPr>
        <w:t>Основы</w:t>
      </w:r>
      <w:r>
        <w:rPr>
          <w:rFonts w:hint="default" w:ascii="Times New Roman" w:hAnsi="Times New Roman" w:eastAsia="Times New Roman" w:cs="Times New Roman"/>
          <w:b w:val="0"/>
          <w:bCs/>
          <w:sz w:val="24"/>
          <w:szCs w:val="24"/>
          <w:lang w:val="en-US" w:eastAsia="ru-RU"/>
        </w:rPr>
        <w:t xml:space="preserve"> бережливого производства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» направлено на формирование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предметных, метапредметных результатов и ценностных ориентиров воспитания. </w:t>
      </w:r>
    </w:p>
    <w:p w14:paraId="32A9258B">
      <w:pPr>
        <w:tabs>
          <w:tab w:val="left" w:pos="2835"/>
        </w:tabs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</w:p>
    <w:tbl>
      <w:tblPr>
        <w:tblStyle w:val="118"/>
        <w:tblW w:w="100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8319"/>
      </w:tblGrid>
      <w:tr w14:paraId="6FAA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01269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Коды</w:t>
            </w:r>
          </w:p>
        </w:tc>
        <w:tc>
          <w:tcPr>
            <w:tcW w:w="8434" w:type="dxa"/>
          </w:tcPr>
          <w:p w14:paraId="6737FD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Формулировка результата</w:t>
            </w:r>
          </w:p>
        </w:tc>
      </w:tr>
      <w:tr w14:paraId="0C0E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6" w:type="dxa"/>
            <w:gridSpan w:val="2"/>
          </w:tcPr>
          <w:p w14:paraId="6A658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Предметные результаты (ПР)</w:t>
            </w:r>
          </w:p>
        </w:tc>
      </w:tr>
      <w:tr w14:paraId="4F677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02A6A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left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 01</w:t>
            </w:r>
          </w:p>
        </w:tc>
        <w:tc>
          <w:tcPr>
            <w:tcW w:w="8434" w:type="dxa"/>
          </w:tcPr>
          <w:p w14:paraId="2E8035A8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азвитие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личности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обучающихся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средствами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предлагаемого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изучения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учебного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предмета,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курса: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развитие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общей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культуры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обучающихся,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их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мировоззрения,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ценностно-смысловых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установок,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развитие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познавательных,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регулятивных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коммуникативных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способностей,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готовности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способности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саморазвитию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профессиональному самоопределению</w:t>
            </w:r>
          </w:p>
        </w:tc>
      </w:tr>
      <w:tr w14:paraId="20899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58E8B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left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 02</w:t>
            </w:r>
          </w:p>
        </w:tc>
        <w:tc>
          <w:tcPr>
            <w:tcW w:w="8434" w:type="dxa"/>
          </w:tcPr>
          <w:p w14:paraId="290F6B7A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владение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систематическими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знаниями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приобретение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опыта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осуществления целесообразной и результативной деятельности</w:t>
            </w:r>
          </w:p>
        </w:tc>
      </w:tr>
      <w:tr w14:paraId="65045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131D5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left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 03</w:t>
            </w:r>
          </w:p>
        </w:tc>
        <w:tc>
          <w:tcPr>
            <w:tcW w:w="8434" w:type="dxa"/>
          </w:tcPr>
          <w:p w14:paraId="3CB60BD1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развитие способности к непрерывному самообразованию, овладению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ключевыми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компетентностями,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составляющими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основу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умения: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самостоятельному приобретению и интеграции знаний, коммуникации 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сотрудничеству,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эффективному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решению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(разрешению)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проблем,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осознанному использованию информационных и коммуникационных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технологий, самоорганизации и саморегуляции</w:t>
            </w:r>
          </w:p>
        </w:tc>
      </w:tr>
      <w:tr w14:paraId="6A033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32D25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left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 04</w:t>
            </w:r>
          </w:p>
        </w:tc>
        <w:tc>
          <w:tcPr>
            <w:tcW w:w="8434" w:type="dxa"/>
          </w:tcPr>
          <w:p w14:paraId="2391D098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О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беспечение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академической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мобильности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(или)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возможности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поддерживать избранное направление образования</w:t>
            </w:r>
          </w:p>
        </w:tc>
      </w:tr>
      <w:tr w14:paraId="677E5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1092E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left"/>
              <w:textAlignment w:val="auto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ПР 05</w:t>
            </w:r>
          </w:p>
        </w:tc>
        <w:tc>
          <w:tcPr>
            <w:tcW w:w="8434" w:type="dxa"/>
          </w:tcPr>
          <w:p w14:paraId="51BAE697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>О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беспечение профессиональной ориентации обучающихся</w:t>
            </w:r>
          </w:p>
        </w:tc>
      </w:tr>
      <w:tr w14:paraId="14F20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6" w:type="dxa"/>
            <w:gridSpan w:val="2"/>
          </w:tcPr>
          <w:p w14:paraId="2794DAC6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center"/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>М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>етапредметные результаты (МР)</w:t>
            </w:r>
          </w:p>
        </w:tc>
      </w:tr>
      <w:tr w14:paraId="17050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6" w:type="dxa"/>
            <w:gridSpan w:val="2"/>
          </w:tcPr>
          <w:tbl>
            <w:tblPr>
              <w:tblStyle w:val="118"/>
              <w:tblW w:w="9977" w:type="dxa"/>
              <w:tblInd w:w="-9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60"/>
              <w:gridCol w:w="8117"/>
            </w:tblGrid>
            <w:tr w14:paraId="45D640D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7106619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01 </w:t>
                  </w:r>
                </w:p>
              </w:tc>
              <w:tc>
                <w:tcPr>
                  <w:tcW w:w="8117" w:type="dxa"/>
                </w:tcPr>
                <w:p w14:paraId="2F68922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самостоятельно определять цели деятельности и составлять планы 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самостоятельно осуществлять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контролировать и корректировать деятельность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использовать все возможные ресурсы для достижения поставленных целей и реализации планов 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выбирать успешные стратегии в различных ситуациях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</w:p>
              </w:tc>
            </w:tr>
            <w:tr w14:paraId="7530A4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56CA61A7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02 </w:t>
                  </w:r>
                </w:p>
              </w:tc>
              <w:tc>
                <w:tcPr>
                  <w:tcW w:w="8117" w:type="dxa"/>
                </w:tcPr>
                <w:p w14:paraId="23EF9F4B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продуктивно общаться и взаимодействовать в процессе совместной 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учитывать позиции других участников 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эффективно разрешать конфликты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</w:p>
              </w:tc>
            </w:tr>
            <w:tr w14:paraId="76E56E5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3C20A85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03</w:t>
                  </w:r>
                </w:p>
              </w:tc>
              <w:tc>
                <w:tcPr>
                  <w:tcW w:w="8117" w:type="dxa"/>
                </w:tcPr>
                <w:p w14:paraId="6F0E82BC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владение навыками познавательной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учебно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-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исследовательской и проектнойдеятельности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навыками разрешения проблем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способность и готовность к самостоятельному поиску методов решения практических задач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применению различных методов познания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;</w:t>
                  </w:r>
                </w:p>
              </w:tc>
            </w:tr>
            <w:tr w14:paraId="1B0951B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3B59647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04 </w:t>
                  </w:r>
                </w:p>
              </w:tc>
              <w:tc>
                <w:tcPr>
                  <w:tcW w:w="8117" w:type="dxa"/>
                </w:tcPr>
                <w:p w14:paraId="615EF41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готовность и способность к самостоятельной информационно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-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познавательной деятельности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владение навыками получения необходимой информации из словарей разных типов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ориентироваться в различных источниках информации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критически оценивать и интерпретировать информацию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получаемую из различных источников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</w:p>
              </w:tc>
            </w:tr>
            <w:tr w14:paraId="297AA5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6C02E856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05 </w:t>
                  </w:r>
                </w:p>
              </w:tc>
              <w:tc>
                <w:tcPr>
                  <w:tcW w:w="8117" w:type="dxa"/>
                </w:tcPr>
                <w:p w14:paraId="3DC1D157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использовать средства информационных и коммуникационных технологий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(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далее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–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ИКТ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)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 решении когнитивных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коммуникативных и организационных задач с соблюдением требований эргономики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техники безопасности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гигиены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ресурсосбережения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правовых и этических норм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норм </w:t>
                  </w:r>
                </w:p>
                <w:p w14:paraId="35FFCCE6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информационной безопасности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;</w:t>
                  </w:r>
                </w:p>
              </w:tc>
            </w:tr>
            <w:tr w14:paraId="2517E6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2B74156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07 </w:t>
                  </w:r>
                </w:p>
                <w:p w14:paraId="61027E9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117" w:type="dxa"/>
                </w:tcPr>
                <w:p w14:paraId="0DF6C785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самостоятельно оценивать и принимать решения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определяющие стратегию поведения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с учетом гражданских и нравственных ценностей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</w:p>
              </w:tc>
            </w:tr>
            <w:tr w14:paraId="5E2B26E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21591D92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08 </w:t>
                  </w:r>
                </w:p>
              </w:tc>
              <w:tc>
                <w:tcPr>
                  <w:tcW w:w="8117" w:type="dxa"/>
                </w:tcPr>
                <w:p w14:paraId="684B8442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владение языковыми средствами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–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умение ясно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логично и точно излагать свою точку зрения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использовать адекватные языковые средства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; </w:t>
                  </w:r>
                </w:p>
                <w:p w14:paraId="3EB3D560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7469C0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60" w:type="dxa"/>
                </w:tcPr>
                <w:p w14:paraId="27C4ED02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МР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 09 </w:t>
                  </w:r>
                </w:p>
                <w:p w14:paraId="4CE0C3AB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117" w:type="dxa"/>
                </w:tcPr>
                <w:p w14:paraId="051D082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владение навыками познавательной рефлексии как осознания совершаемых действий и мыслительных процессов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их результатов и оснований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границ своего знания и незнания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, </w:t>
                  </w:r>
                  <w:r>
                    <w:rPr>
                      <w:rFonts w:hint="default" w:ascii="Times New Roman" w:hAnsi="Times New Roman" w:eastAsia="SimSu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>новых познавательных задач и средств их достижения</w:t>
                  </w:r>
                  <w:r>
                    <w:rPr>
                      <w:rFonts w:hint="default" w:ascii="Times New Roman" w:hAnsi="Times New Roman" w:eastAsia="Times-Roman" w:cs="Times New Roman"/>
                      <w:color w:val="000000"/>
                      <w:kern w:val="0"/>
                      <w:sz w:val="24"/>
                      <w:szCs w:val="24"/>
                      <w:lang w:val="en-US" w:eastAsia="zh-CN" w:bidi="ar"/>
                    </w:rPr>
                    <w:t xml:space="preserve">. </w:t>
                  </w:r>
                </w:p>
              </w:tc>
            </w:tr>
          </w:tbl>
          <w:p w14:paraId="6E654093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center"/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</w:pPr>
          </w:p>
        </w:tc>
      </w:tr>
      <w:tr w14:paraId="24525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6" w:type="dxa"/>
            <w:gridSpan w:val="2"/>
          </w:tcPr>
          <w:p w14:paraId="3AC6E6D1">
            <w:pPr>
              <w:keepNext w:val="0"/>
              <w:keepLines w:val="0"/>
              <w:widowControl/>
              <w:suppressLineNumbers w:val="0"/>
              <w:shd w:val="clear" w:fill="FFFFFF"/>
              <w:ind w:left="0" w:firstLine="0"/>
              <w:jc w:val="center"/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</w:pPr>
            <w:r>
              <w:rPr>
                <w:rFonts w:hint="default" w:ascii="Times New Roman" w:hAnsi="Times New Roman" w:eastAsia="Helvetica" w:cs="Times New Roman"/>
                <w:i w:val="0"/>
                <w:iC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>Ц</w:t>
            </w:r>
            <w:r>
              <w:rPr>
                <w:rFonts w:hint="default" w:ascii="Times New Roman" w:hAnsi="Times New Roman" w:eastAsia="Helvetica" w:cs="Times New Roman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ru-RU" w:eastAsia="zh-CN" w:bidi="ar"/>
              </w:rPr>
              <w:t>енностные ориентиры воспитания (ЦО)</w:t>
            </w:r>
          </w:p>
        </w:tc>
      </w:tr>
      <w:tr w14:paraId="19875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3E0D7B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05</w:t>
            </w:r>
          </w:p>
        </w:tc>
        <w:tc>
          <w:tcPr>
            <w:tcW w:w="8434" w:type="dxa"/>
          </w:tcPr>
          <w:p w14:paraId="6B33883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готовность и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способность к самостоятельной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творческой и ответственной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6D80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3DD83B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 xml:space="preserve">ЦО 06 </w:t>
            </w:r>
          </w:p>
        </w:tc>
        <w:tc>
          <w:tcPr>
            <w:tcW w:w="8434" w:type="dxa"/>
          </w:tcPr>
          <w:p w14:paraId="5592AF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толерантное сознание и поведение в поликультурном мире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готовность и способность вести диалог с другими людьми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достигать в нем взаимопонимания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находить общие цели и сотрудничать для их достижения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способность противостоять идеологии экстремизма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национализма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ксенофобии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дискриминации по социальным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религиозным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расовым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национальным признакам и другим негативным социальным явлениям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B57E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0B2F6C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 xml:space="preserve">ЦО 07 </w:t>
            </w:r>
          </w:p>
        </w:tc>
        <w:tc>
          <w:tcPr>
            <w:tcW w:w="8434" w:type="dxa"/>
          </w:tcPr>
          <w:p w14:paraId="11D7D3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навыки сотрудничества со сверстниками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детьми младшего возраста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взрослыми в образовательной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общественно полезной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учебно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исследовательской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проектной и других видах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B604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540244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 xml:space="preserve">ЦО 08 </w:t>
            </w:r>
          </w:p>
        </w:tc>
        <w:tc>
          <w:tcPr>
            <w:tcW w:w="8434" w:type="dxa"/>
          </w:tcPr>
          <w:p w14:paraId="324372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нравственное сознание и поведение на основе усвоения общечеловеческих ценностей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2ACB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6E21F6B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09</w:t>
            </w:r>
          </w:p>
        </w:tc>
        <w:tc>
          <w:tcPr>
            <w:tcW w:w="8434" w:type="dxa"/>
          </w:tcPr>
          <w:p w14:paraId="5865619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готовность и способность к образованию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 том числе самообразованию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 протяжении всей жизни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сознательное отношение к непрерывному образованию как условию успешной профессиональной и общественной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08F6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6379298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10</w:t>
            </w:r>
          </w:p>
        </w:tc>
        <w:tc>
          <w:tcPr>
            <w:tcW w:w="8434" w:type="dxa"/>
          </w:tcPr>
          <w:p w14:paraId="060F3D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эстетическое отношение к миру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включая эстетику быта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научного и технического творчества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спорта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общественных отношений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7C411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2" w:type="dxa"/>
          </w:tcPr>
          <w:p w14:paraId="3B250A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13</w:t>
            </w:r>
          </w:p>
        </w:tc>
        <w:tc>
          <w:tcPr>
            <w:tcW w:w="8434" w:type="dxa"/>
          </w:tcPr>
          <w:p w14:paraId="04E7959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осознанный выбор будущей профессии и возможностей реализации собственных жизненных планов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отношение к профессиональной деятельности как возможности участия в решении личных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общественных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государственных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общенациональных проблем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. </w:t>
            </w:r>
          </w:p>
        </w:tc>
      </w:tr>
    </w:tbl>
    <w:p w14:paraId="10E5732D">
      <w:pPr>
        <w:tabs>
          <w:tab w:val="left" w:pos="2835"/>
        </w:tabs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F13413D">
      <w:pPr>
        <w:tabs>
          <w:tab w:val="left" w:pos="2835"/>
        </w:tabs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Особое значение дисциплина имеет при формировании и развитии ОК 01, ОК 03.</w:t>
      </w:r>
    </w:p>
    <w:p w14:paraId="13E36E5C">
      <w:pPr>
        <w:tabs>
          <w:tab w:val="left" w:pos="2835"/>
        </w:tabs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12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686"/>
        <w:gridCol w:w="4394"/>
      </w:tblGrid>
      <w:tr w14:paraId="2CC23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F31D31">
            <w:pPr>
              <w:suppressAutoHyphens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14:paraId="125E83B9">
            <w:pPr>
              <w:suppressAutoHyphens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410BA2">
            <w:pPr>
              <w:suppressAutoHyphens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FFED77">
            <w:pPr>
              <w:suppressAutoHyphens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14:paraId="041F3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3FB7F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 01,</w:t>
            </w:r>
          </w:p>
          <w:p w14:paraId="7137DDF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 03,</w:t>
            </w:r>
          </w:p>
          <w:p w14:paraId="4884A28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 04,</w:t>
            </w:r>
          </w:p>
          <w:p w14:paraId="5D6B63E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 05,</w:t>
            </w:r>
          </w:p>
          <w:p w14:paraId="571CBF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28DFC2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использовать на практике методы планирования и организации работы подразделения; </w:t>
            </w:r>
          </w:p>
          <w:p w14:paraId="76BBFEC3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анализировать организационные структуры управления; </w:t>
            </w:r>
          </w:p>
          <w:p w14:paraId="62740778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проводить работу по мотивации трудовой деятельности персонала; </w:t>
            </w:r>
          </w:p>
          <w:p w14:paraId="54139A71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 применять в профессиональной деятельности приемы делового и управленческого общения; </w:t>
            </w:r>
          </w:p>
          <w:p w14:paraId="3376B169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принимать эффективные решения, используя систему методов управления; </w:t>
            </w:r>
          </w:p>
          <w:p w14:paraId="38129EF4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>− организовывать рабочее место и трудовую деятельность с учетом основ бережливого производства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321EF4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сущность, характерные черты и история развития менеджмента; </w:t>
            </w:r>
          </w:p>
          <w:p w14:paraId="2F0DCC24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методы планирования и организации работы подразделения; </w:t>
            </w:r>
          </w:p>
          <w:p w14:paraId="13CC0C97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принципы построения организационной структуры управления; </w:t>
            </w:r>
          </w:p>
          <w:p w14:paraId="3405EB10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основы формирования мотивационной политики организации; </w:t>
            </w:r>
          </w:p>
          <w:p w14:paraId="760CB7E7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внешняя и внутренняя среда организации; цикл менеджмента; </w:t>
            </w:r>
          </w:p>
          <w:p w14:paraId="0ACEA096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процесс принятия и реализации управленческих решений; </w:t>
            </w:r>
          </w:p>
          <w:p w14:paraId="370F6181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>− стили управления, коммуникации −современные методы и инструменты менеджмента;</w:t>
            </w:r>
          </w:p>
          <w:p w14:paraId="64A076BD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основы бережливого производства, признаки качества транспортных услуг, </w:t>
            </w:r>
          </w:p>
          <w:p w14:paraId="28D25761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 xml:space="preserve">− принципы бережливого производства; </w:t>
            </w:r>
          </w:p>
          <w:p w14:paraId="4434DCE0">
            <w:pPr>
              <w:pStyle w:val="90"/>
              <w:shd w:val="clear" w:color="auto" w:fill="FFFFFF"/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ru-RU"/>
              </w:rPr>
              <w:t>− основы системы 5S и цели ее применения</w:t>
            </w:r>
          </w:p>
        </w:tc>
      </w:tr>
    </w:tbl>
    <w:p w14:paraId="3833FEAE">
      <w:pPr>
        <w:tabs>
          <w:tab w:val="left" w:pos="2835"/>
        </w:tabs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508FED69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2.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СТРУКТУРА И СОДЕРЖАНИЕ УЧЕБНОЙ ДИСЦИПЛИНЫ </w:t>
      </w:r>
    </w:p>
    <w:p w14:paraId="0389DE02">
      <w:pPr>
        <w:suppressAutoHyphens/>
        <w:spacing w:after="0" w:line="360" w:lineRule="auto"/>
        <w:ind w:firstLine="709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2.1. Объем учебной дисциплины и виды учебной работы</w:t>
      </w:r>
    </w:p>
    <w:p w14:paraId="51D53FCC">
      <w:pPr>
        <w:rPr>
          <w:lang w:val="en-US"/>
        </w:rPr>
      </w:pPr>
    </w:p>
    <w:tbl>
      <w:tblPr>
        <w:tblStyle w:val="15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0"/>
        <w:gridCol w:w="2441"/>
        <w:gridCol w:w="2441"/>
      </w:tblGrid>
      <w:tr w14:paraId="45777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970" w:type="dxa"/>
            <w:vAlign w:val="center"/>
          </w:tcPr>
          <w:p w14:paraId="366272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FCDD1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505EDCA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 xml:space="preserve">(очная форма)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65073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47D470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(заочная форма)</w:t>
            </w:r>
          </w:p>
        </w:tc>
      </w:tr>
      <w:tr w14:paraId="58A92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6CD02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рабочей программы учебной дисциплины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6FF1E3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5A7084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</w:tr>
      <w:tr w14:paraId="21934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35101E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 том числе в форме практической подготовки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7413F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28CF5F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59443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46E303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0A13CD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0672A80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14:paraId="142B6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5DE37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4F42D0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3567814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14:paraId="68FEB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18571E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лабораторные работы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CD3C3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301958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078F4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0D1BCD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практические занятия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1E4078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147C55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7C5EE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89020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профессионально ориентированное содержание/прикладной модуль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2B534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158B99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6AF58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23DAC6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курсовая работа (проект)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3C628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205A65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270E5C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970" w:type="dxa"/>
          </w:tcPr>
          <w:p w14:paraId="62CE2F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Самостоятельная работа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3DD9BD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8F8A0A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</w:tr>
      <w:tr w14:paraId="4C245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0EC822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Промежуточная аттестация в форме зачета/дифференцированного зачета/экзамена</w:t>
            </w:r>
          </w:p>
        </w:tc>
        <w:tc>
          <w:tcPr>
            <w:tcW w:w="2441" w:type="dxa"/>
            <w:shd w:val="clear" w:color="auto" w:fill="auto"/>
          </w:tcPr>
          <w:p w14:paraId="54935BB7">
            <w:pPr>
              <w:spacing w:after="0" w:line="240" w:lineRule="auto"/>
              <w:ind w:left="37"/>
              <w:contextualSpacing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441" w:type="dxa"/>
            <w:shd w:val="clear" w:color="auto" w:fill="auto"/>
          </w:tcPr>
          <w:p w14:paraId="4C59BB44">
            <w:pPr>
              <w:spacing w:after="0" w:line="240" w:lineRule="auto"/>
              <w:ind w:left="37"/>
              <w:contextualSpacing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</w:tbl>
    <w:p w14:paraId="46C4652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</w:p>
    <w:p w14:paraId="7608CB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 w:eastAsia="ru-RU"/>
        </w:rPr>
        <w:t>Название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en-US" w:eastAsia="ru-RU"/>
        </w:rPr>
        <w:t xml:space="preserve"> разделов и тем: </w:t>
      </w:r>
    </w:p>
    <w:p w14:paraId="4AECC5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 w14:paraId="7AAE6B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Тема 1.1.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Сущность менеджмента и современные инструменты</w:t>
      </w:r>
    </w:p>
    <w:p w14:paraId="6A78C9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Тема 1.2.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Внешняя и внутренняя среда организации (предприятия)</w:t>
      </w:r>
    </w:p>
    <w:p w14:paraId="572D630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Тема 1.3. Бережливое производство</w:t>
      </w:r>
    </w:p>
    <w:p w14:paraId="60D15D9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Тема 1.4.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Инструменты менеджмента</w:t>
      </w:r>
    </w:p>
    <w:p w14:paraId="1CCE039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Тема 1.5.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Системы методов управления</w:t>
      </w:r>
    </w:p>
    <w:p w14:paraId="6398B6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Тема 1.6.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Коммуникации в менеджменте</w:t>
      </w:r>
    </w:p>
    <w:p w14:paraId="01CA6C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1.7. Процесс принятия решений</w:t>
      </w:r>
    </w:p>
    <w:p w14:paraId="71E438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1.8. Лидерство, руководство и партнерство</w:t>
      </w:r>
    </w:p>
    <w:p w14:paraId="4794C5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Тема 1.9. Управление персоналом</w:t>
      </w:r>
    </w:p>
    <w:p w14:paraId="23E80FD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/>
          <w:b/>
          <w:bCs/>
          <w:shd w:val="clear" w:color="auto" w:fill="FFFFFF"/>
          <w:lang w:val="en-US" w:eastAsia="ru-RU"/>
        </w:rPr>
      </w:pPr>
      <w:bookmarkStart w:id="0" w:name="_GoBack"/>
      <w:bookmarkEnd w:id="0"/>
    </w:p>
    <w:p w14:paraId="439B553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132AE973"/>
    <w:p w14:paraId="0522F7AC">
      <w:pPr>
        <w:rPr>
          <w:lang w:val="en-US"/>
        </w:rPr>
      </w:pP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0">
    <w:nsid w:val="2B453B8C"/>
    <w:multiLevelType w:val="multilevel"/>
    <w:tmpl w:val="2B453B8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3D2E204C"/>
    <w:rsid w:val="6EB0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qFormat="1"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uiPriority w:val="0"/>
    <w:rPr>
      <w:color w:val="0000FF"/>
      <w:u w:val="single"/>
    </w:rPr>
  </w:style>
  <w:style w:type="character" w:styleId="21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uiPriority w:val="0"/>
    <w:pPr>
      <w:ind w:left="708"/>
    </w:pPr>
  </w:style>
  <w:style w:type="paragraph" w:styleId="37">
    <w:name w:val="envelope return"/>
    <w:basedOn w:val="1"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uiPriority w:val="0"/>
    <w:pPr>
      <w:jc w:val="left"/>
    </w:pPr>
  </w:style>
  <w:style w:type="paragraph" w:styleId="43">
    <w:name w:val="index 1"/>
    <w:basedOn w:val="1"/>
    <w:next w:val="1"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uiPriority w:val="0"/>
    <w:pPr>
      <w:ind w:left="1400" w:leftChars="1400"/>
    </w:pPr>
  </w:style>
  <w:style w:type="paragraph" w:styleId="61">
    <w:name w:val="Body Text"/>
    <w:basedOn w:val="1"/>
    <w:uiPriority w:val="0"/>
    <w:pPr>
      <w:spacing w:after="120"/>
    </w:pPr>
  </w:style>
  <w:style w:type="paragraph" w:styleId="62">
    <w:name w:val="index 9"/>
    <w:basedOn w:val="1"/>
    <w:next w:val="1"/>
    <w:uiPriority w:val="0"/>
    <w:pPr>
      <w:ind w:left="1600" w:leftChars="1600"/>
    </w:pPr>
  </w:style>
  <w:style w:type="paragraph" w:styleId="63">
    <w:name w:val="List Number 4"/>
    <w:basedOn w:val="1"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uiPriority w:val="0"/>
  </w:style>
  <w:style w:type="paragraph" w:styleId="67">
    <w:name w:val="table of authorities"/>
    <w:basedOn w:val="1"/>
    <w:next w:val="1"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uiPriority w:val="0"/>
    <w:pPr>
      <w:numPr>
        <w:ilvl w:val="0"/>
        <w:numId w:val="7"/>
      </w:numPr>
    </w:pPr>
  </w:style>
  <w:style w:type="paragraph" w:styleId="84">
    <w:name w:val="List Bullet 3"/>
    <w:basedOn w:val="1"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51">
    <w:name w:val="Сетка таблицы1"/>
    <w:qFormat/>
    <w:uiPriority w:val="59"/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2024-06-21T15:09:12Z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